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219D" w14:textId="0EA07575" w:rsidR="00A2657B" w:rsidRPr="00A2657B" w:rsidRDefault="00A2657B" w:rsidP="00A2657B">
      <w:pPr>
        <w:spacing w:before="120"/>
        <w:ind w:firstLine="709"/>
        <w:jc w:val="center"/>
        <w:rPr>
          <w:b/>
          <w:bCs/>
          <w:sz w:val="36"/>
          <w:szCs w:val="36"/>
        </w:rPr>
      </w:pPr>
      <w:r w:rsidRPr="00A2657B">
        <w:rPr>
          <w:b/>
          <w:bCs/>
          <w:sz w:val="36"/>
          <w:szCs w:val="36"/>
        </w:rPr>
        <w:t>THỦ TỤC HÀNH CHÍNH</w:t>
      </w:r>
    </w:p>
    <w:p w14:paraId="3CC6CA51" w14:textId="5E826E7A" w:rsidR="00A2657B" w:rsidRDefault="00A2657B" w:rsidP="00A2657B">
      <w:pPr>
        <w:spacing w:before="120" w:after="360"/>
        <w:ind w:firstLine="709"/>
        <w:jc w:val="center"/>
        <w:rPr>
          <w:b/>
          <w:bCs/>
          <w:sz w:val="28"/>
          <w:szCs w:val="28"/>
        </w:rPr>
      </w:pPr>
      <w:r>
        <w:rPr>
          <w:b/>
          <w:bCs/>
          <w:sz w:val="28"/>
          <w:szCs w:val="28"/>
        </w:rPr>
        <w:t>Thẩm định, phê duyệt đánh giá an cảng biển</w:t>
      </w:r>
    </w:p>
    <w:p w14:paraId="3FF5CA30" w14:textId="6F0B8145" w:rsidR="00162650" w:rsidRPr="00162650" w:rsidRDefault="00162650" w:rsidP="00162650">
      <w:pPr>
        <w:spacing w:before="120"/>
        <w:ind w:firstLine="709"/>
        <w:jc w:val="both"/>
        <w:rPr>
          <w:b/>
          <w:bCs/>
          <w:sz w:val="28"/>
          <w:szCs w:val="28"/>
        </w:rPr>
      </w:pPr>
      <w:r w:rsidRPr="00162650">
        <w:rPr>
          <w:b/>
          <w:bCs/>
          <w:sz w:val="28"/>
          <w:szCs w:val="28"/>
        </w:rPr>
        <w:t>1. Trình tự thực hiện</w:t>
      </w:r>
      <w:r>
        <w:rPr>
          <w:b/>
          <w:bCs/>
          <w:sz w:val="28"/>
          <w:szCs w:val="28"/>
        </w:rPr>
        <w:t>:</w:t>
      </w:r>
    </w:p>
    <w:p w14:paraId="2ECBC187" w14:textId="0C234409" w:rsidR="00162650" w:rsidRDefault="00162650" w:rsidP="00162650">
      <w:pPr>
        <w:spacing w:before="120"/>
        <w:ind w:firstLine="709"/>
        <w:jc w:val="both"/>
        <w:rPr>
          <w:sz w:val="28"/>
          <w:szCs w:val="28"/>
        </w:rPr>
      </w:pPr>
      <w:r w:rsidRPr="00A210F2">
        <w:rPr>
          <w:sz w:val="28"/>
          <w:szCs w:val="28"/>
        </w:rPr>
        <w:t>a)</w:t>
      </w:r>
      <w:r>
        <w:rPr>
          <w:sz w:val="28"/>
          <w:szCs w:val="28"/>
        </w:rPr>
        <w:t xml:space="preserve"> Nộp hồ sơ TTHC</w:t>
      </w:r>
    </w:p>
    <w:p w14:paraId="0109B783" w14:textId="1299BBF1" w:rsidR="00162650" w:rsidRPr="00A210F2" w:rsidRDefault="00162650" w:rsidP="00162650">
      <w:pPr>
        <w:spacing w:before="120"/>
        <w:ind w:firstLine="709"/>
        <w:jc w:val="both"/>
        <w:rPr>
          <w:sz w:val="28"/>
          <w:szCs w:val="28"/>
        </w:rPr>
      </w:pPr>
      <w:r w:rsidRPr="00A210F2">
        <w:rPr>
          <w:sz w:val="28"/>
          <w:szCs w:val="28"/>
        </w:rPr>
        <w:t xml:space="preserve"> Doanh nghiệp cảng biển nộp hồ sơ đề nghị cho Cảng vụ Hàng hải khu vực quản lý.</w:t>
      </w:r>
    </w:p>
    <w:p w14:paraId="1FE05287" w14:textId="7BCAC4BB" w:rsidR="00162650" w:rsidRDefault="00162650" w:rsidP="00162650">
      <w:pPr>
        <w:spacing w:before="120"/>
        <w:ind w:firstLine="709"/>
        <w:jc w:val="both"/>
        <w:rPr>
          <w:sz w:val="28"/>
          <w:szCs w:val="28"/>
        </w:rPr>
      </w:pPr>
      <w:r w:rsidRPr="00A210F2">
        <w:rPr>
          <w:sz w:val="28"/>
          <w:szCs w:val="28"/>
        </w:rPr>
        <w:t xml:space="preserve">b) </w:t>
      </w:r>
      <w:r>
        <w:rPr>
          <w:sz w:val="28"/>
          <w:szCs w:val="28"/>
        </w:rPr>
        <w:t>Giải quyết TTHC:</w:t>
      </w:r>
    </w:p>
    <w:p w14:paraId="6CD1BBAF" w14:textId="2D4A0A8E" w:rsidR="00162650" w:rsidRPr="00A210F2" w:rsidRDefault="00162650" w:rsidP="00162650">
      <w:pPr>
        <w:spacing w:before="120"/>
        <w:ind w:firstLine="709"/>
        <w:jc w:val="both"/>
        <w:rPr>
          <w:sz w:val="28"/>
          <w:szCs w:val="28"/>
        </w:rPr>
      </w:pPr>
      <w:r>
        <w:rPr>
          <w:sz w:val="28"/>
          <w:szCs w:val="28"/>
        </w:rPr>
        <w:t xml:space="preserve">- </w:t>
      </w:r>
      <w:r w:rsidRPr="00A210F2">
        <w:rPr>
          <w:sz w:val="28"/>
          <w:szCs w:val="28"/>
        </w:rPr>
        <w:t>Cảng vụ Hàng hải tiếp nhận và xem xét hồ sơ; nếu hồ sơ chưa đầy đủ thì hướng dẫn cho Doanh nghiệp cảng biển bổ sung hoàn chỉnh, nếu đầy đủ thì thông báo về thời gian đánh giá tại cảng biển.</w:t>
      </w:r>
    </w:p>
    <w:p w14:paraId="451A1107" w14:textId="23595E17" w:rsidR="00162650" w:rsidRPr="00A210F2" w:rsidRDefault="00162650" w:rsidP="00162650">
      <w:pPr>
        <w:spacing w:before="120"/>
        <w:ind w:firstLine="709"/>
        <w:jc w:val="both"/>
        <w:rPr>
          <w:sz w:val="28"/>
          <w:szCs w:val="28"/>
        </w:rPr>
      </w:pPr>
      <w:r>
        <w:rPr>
          <w:sz w:val="28"/>
          <w:szCs w:val="28"/>
        </w:rPr>
        <w:t xml:space="preserve">- </w:t>
      </w:r>
      <w:r w:rsidRPr="00A210F2">
        <w:rPr>
          <w:sz w:val="28"/>
          <w:szCs w:val="28"/>
        </w:rPr>
        <w:t xml:space="preserve">Cảng vụ Hàng hải tiến hành đánh giá an ninh cảng biển tại cảng biển. </w:t>
      </w:r>
    </w:p>
    <w:p w14:paraId="140C0081" w14:textId="13B11946" w:rsidR="00162650" w:rsidRPr="00A210F2" w:rsidRDefault="00162650" w:rsidP="00162650">
      <w:pPr>
        <w:spacing w:before="120"/>
        <w:ind w:firstLine="709"/>
        <w:jc w:val="both"/>
        <w:rPr>
          <w:sz w:val="28"/>
          <w:szCs w:val="28"/>
        </w:rPr>
      </w:pPr>
      <w:r>
        <w:rPr>
          <w:sz w:val="28"/>
          <w:szCs w:val="28"/>
        </w:rPr>
        <w:t xml:space="preserve">- </w:t>
      </w:r>
      <w:r w:rsidRPr="00A210F2">
        <w:rPr>
          <w:sz w:val="28"/>
          <w:szCs w:val="28"/>
        </w:rPr>
        <w:t>Sau khi hoàn thành đánh giá, nếu Đánh giá an ninh cảng biển đáp ứng yêu cầu của Bộ luật ISPS thì Giám đốc Cảng vụ Hàng hải cấp Giấy chứng nhận Thẩm định – Phê duyệt.</w:t>
      </w:r>
    </w:p>
    <w:p w14:paraId="2B7C08DD" w14:textId="39DCAB28" w:rsidR="00162650" w:rsidRPr="00162650" w:rsidRDefault="00162650" w:rsidP="00162650">
      <w:pPr>
        <w:spacing w:before="120"/>
        <w:ind w:firstLine="709"/>
        <w:jc w:val="both"/>
        <w:rPr>
          <w:b/>
          <w:bCs/>
          <w:sz w:val="28"/>
          <w:szCs w:val="28"/>
        </w:rPr>
      </w:pPr>
      <w:r w:rsidRPr="00162650">
        <w:rPr>
          <w:b/>
          <w:bCs/>
          <w:sz w:val="28"/>
          <w:szCs w:val="28"/>
        </w:rPr>
        <w:t>2. Cách thức thực hiện</w:t>
      </w:r>
      <w:r>
        <w:rPr>
          <w:b/>
          <w:bCs/>
          <w:sz w:val="28"/>
          <w:szCs w:val="28"/>
        </w:rPr>
        <w:t>:</w:t>
      </w:r>
    </w:p>
    <w:p w14:paraId="506CE25F" w14:textId="77777777" w:rsidR="00162650" w:rsidRPr="00A210F2" w:rsidRDefault="00162650" w:rsidP="00162650">
      <w:pPr>
        <w:spacing w:before="120"/>
        <w:ind w:firstLine="709"/>
        <w:jc w:val="both"/>
        <w:rPr>
          <w:sz w:val="28"/>
          <w:szCs w:val="28"/>
        </w:rPr>
      </w:pPr>
      <w:r w:rsidRPr="00A210F2">
        <w:rPr>
          <w:sz w:val="28"/>
          <w:szCs w:val="28"/>
        </w:rPr>
        <w:t>a) Doanh nghiệp cảng biển nộp Hồ sơ qua hệ thống bưu chính hoặc trực tiếp tại Cảng vụ Hàng hải.</w:t>
      </w:r>
    </w:p>
    <w:p w14:paraId="7C35396A" w14:textId="77777777" w:rsidR="00162650" w:rsidRPr="00A210F2" w:rsidRDefault="00162650" w:rsidP="00162650">
      <w:pPr>
        <w:spacing w:before="120"/>
        <w:ind w:firstLine="709"/>
        <w:jc w:val="both"/>
        <w:rPr>
          <w:sz w:val="28"/>
          <w:szCs w:val="28"/>
        </w:rPr>
      </w:pPr>
      <w:r w:rsidRPr="00A210F2">
        <w:rPr>
          <w:sz w:val="28"/>
          <w:szCs w:val="28"/>
        </w:rPr>
        <w:t>b) Doanh nghiệp cảng biển nhận kết quả: Qua hệ thống bưu chính; hoặc trực tiếp tại Cảng vụ Hàng hải.</w:t>
      </w:r>
    </w:p>
    <w:p w14:paraId="20E88EB9" w14:textId="77777777" w:rsidR="00162650" w:rsidRPr="00162650" w:rsidRDefault="00162650" w:rsidP="00162650">
      <w:pPr>
        <w:spacing w:before="120"/>
        <w:ind w:firstLine="709"/>
        <w:jc w:val="both"/>
        <w:rPr>
          <w:b/>
          <w:bCs/>
          <w:sz w:val="28"/>
          <w:szCs w:val="28"/>
        </w:rPr>
      </w:pPr>
      <w:r w:rsidRPr="00162650">
        <w:rPr>
          <w:b/>
          <w:bCs/>
          <w:sz w:val="28"/>
          <w:szCs w:val="28"/>
        </w:rPr>
        <w:t>3. Thành phần, số lượng hồ sơ:</w:t>
      </w:r>
    </w:p>
    <w:p w14:paraId="6B472E37" w14:textId="77777777" w:rsidR="00162650" w:rsidRDefault="00162650" w:rsidP="00162650">
      <w:pPr>
        <w:spacing w:before="120"/>
        <w:ind w:firstLine="709"/>
        <w:jc w:val="both"/>
        <w:rPr>
          <w:sz w:val="28"/>
          <w:szCs w:val="28"/>
        </w:rPr>
      </w:pPr>
      <w:r w:rsidRPr="00A210F2">
        <w:rPr>
          <w:sz w:val="28"/>
          <w:szCs w:val="28"/>
        </w:rPr>
        <w:t>a)</w:t>
      </w:r>
      <w:r>
        <w:rPr>
          <w:sz w:val="28"/>
          <w:szCs w:val="28"/>
        </w:rPr>
        <w:t xml:space="preserve"> Thành phần hồ sơ:</w:t>
      </w:r>
    </w:p>
    <w:p w14:paraId="14B80263" w14:textId="0599D468" w:rsidR="00162650" w:rsidRPr="00A2657B" w:rsidRDefault="00162650" w:rsidP="00162650">
      <w:pPr>
        <w:spacing w:before="120"/>
        <w:ind w:firstLine="709"/>
        <w:jc w:val="both"/>
        <w:rPr>
          <w:sz w:val="28"/>
          <w:szCs w:val="28"/>
        </w:rPr>
      </w:pPr>
      <w:r>
        <w:rPr>
          <w:sz w:val="28"/>
          <w:szCs w:val="28"/>
        </w:rPr>
        <w:t xml:space="preserve">- </w:t>
      </w:r>
      <w:r w:rsidRPr="00A210F2">
        <w:rPr>
          <w:sz w:val="28"/>
          <w:szCs w:val="28"/>
        </w:rPr>
        <w:t>Công văn đề nghị phê duyệt Đánh giá an ninh cảng biển do Giám đốc doanh nghiệp cảng ký</w:t>
      </w:r>
      <w:r w:rsidR="003C7734">
        <w:rPr>
          <w:sz w:val="28"/>
          <w:szCs w:val="28"/>
        </w:rPr>
        <w:t xml:space="preserve"> theo </w:t>
      </w:r>
      <w:r w:rsidR="003C7734" w:rsidRPr="00A2657B">
        <w:rPr>
          <w:b/>
          <w:bCs/>
          <w:sz w:val="28"/>
          <w:szCs w:val="28"/>
        </w:rPr>
        <w:t xml:space="preserve">mẫu số </w:t>
      </w:r>
      <w:r w:rsidR="00A2657B">
        <w:rPr>
          <w:b/>
          <w:bCs/>
          <w:sz w:val="28"/>
          <w:szCs w:val="28"/>
        </w:rPr>
        <w:t>1</w:t>
      </w:r>
      <w:r w:rsidR="00A2657B">
        <w:rPr>
          <w:sz w:val="28"/>
          <w:szCs w:val="28"/>
        </w:rPr>
        <w:t>.</w:t>
      </w:r>
    </w:p>
    <w:p w14:paraId="724045C3" w14:textId="6B9A16DE" w:rsidR="00162650" w:rsidRPr="00A210F2" w:rsidRDefault="00162650" w:rsidP="00162650">
      <w:pPr>
        <w:spacing w:before="120"/>
        <w:ind w:firstLine="709"/>
        <w:jc w:val="both"/>
        <w:rPr>
          <w:sz w:val="28"/>
          <w:szCs w:val="28"/>
        </w:rPr>
      </w:pPr>
      <w:r>
        <w:rPr>
          <w:sz w:val="28"/>
          <w:szCs w:val="28"/>
        </w:rPr>
        <w:t xml:space="preserve">- </w:t>
      </w:r>
      <w:r w:rsidRPr="00A210F2">
        <w:rPr>
          <w:sz w:val="28"/>
          <w:szCs w:val="28"/>
        </w:rPr>
        <w:t>01 bản Đánh giá an ninh cảng biển có xác nhận của giám đốc Doanh nghiệp cảng biển ở trang cuối (đối với cảng liên doanh với nước ngoài hoặc người khai thác cảng là pháp nhân, thể nhân nước ngoài thì Đánh giá an ninh cảng biển phải được dịch sang tiếng Anh);</w:t>
      </w:r>
    </w:p>
    <w:p w14:paraId="26C133B7" w14:textId="7F92CADB" w:rsidR="00162650" w:rsidRPr="00A210F2" w:rsidRDefault="00162650" w:rsidP="00162650">
      <w:pPr>
        <w:spacing w:before="120"/>
        <w:ind w:firstLine="709"/>
        <w:jc w:val="both"/>
        <w:rPr>
          <w:sz w:val="28"/>
          <w:szCs w:val="28"/>
        </w:rPr>
      </w:pPr>
      <w:r>
        <w:rPr>
          <w:sz w:val="28"/>
          <w:szCs w:val="28"/>
        </w:rPr>
        <w:t>b</w:t>
      </w:r>
      <w:r w:rsidRPr="00A210F2">
        <w:rPr>
          <w:sz w:val="28"/>
          <w:szCs w:val="28"/>
        </w:rPr>
        <w:t>) Số lượng hồ sơ: 01 bộ.</w:t>
      </w:r>
    </w:p>
    <w:p w14:paraId="6CA39B88" w14:textId="4BA9A133" w:rsidR="00162650" w:rsidRDefault="00162650" w:rsidP="00162650">
      <w:pPr>
        <w:spacing w:before="120"/>
        <w:ind w:firstLine="709"/>
        <w:jc w:val="both"/>
        <w:rPr>
          <w:sz w:val="28"/>
          <w:szCs w:val="28"/>
        </w:rPr>
      </w:pPr>
      <w:r w:rsidRPr="00162650">
        <w:rPr>
          <w:b/>
          <w:bCs/>
          <w:sz w:val="28"/>
          <w:szCs w:val="28"/>
        </w:rPr>
        <w:t xml:space="preserve">4. Thời hạn cấp Giấy chứng nhận Thẩm định </w:t>
      </w:r>
      <w:r w:rsidR="00A2657B" w:rsidRPr="00A2657B">
        <w:rPr>
          <w:b/>
          <w:bCs/>
          <w:sz w:val="28"/>
          <w:szCs w:val="28"/>
        </w:rPr>
        <w:t>-</w:t>
      </w:r>
      <w:r w:rsidRPr="00162650">
        <w:rPr>
          <w:b/>
          <w:bCs/>
          <w:sz w:val="28"/>
          <w:szCs w:val="28"/>
        </w:rPr>
        <w:t xml:space="preserve"> Phê duyệ</w:t>
      </w:r>
      <w:r>
        <w:rPr>
          <w:b/>
          <w:bCs/>
          <w:sz w:val="28"/>
          <w:szCs w:val="28"/>
        </w:rPr>
        <w:t>t</w:t>
      </w:r>
    </w:p>
    <w:p w14:paraId="5CE9C048" w14:textId="6ABA86C3" w:rsidR="00162650" w:rsidRPr="00A210F2" w:rsidRDefault="00162650" w:rsidP="00162650">
      <w:pPr>
        <w:spacing w:before="120"/>
        <w:ind w:firstLine="709"/>
        <w:jc w:val="both"/>
        <w:rPr>
          <w:sz w:val="28"/>
          <w:szCs w:val="28"/>
        </w:rPr>
      </w:pPr>
      <w:r>
        <w:rPr>
          <w:sz w:val="28"/>
          <w:szCs w:val="28"/>
        </w:rPr>
        <w:t>C</w:t>
      </w:r>
      <w:r w:rsidRPr="00A210F2">
        <w:rPr>
          <w:sz w:val="28"/>
          <w:szCs w:val="28"/>
        </w:rPr>
        <w:t>hậm nhất 03 ngày làm việc kể từ ngày kết thúc đánh giá tại cảng biển.</w:t>
      </w:r>
    </w:p>
    <w:p w14:paraId="4893E965" w14:textId="3C0D2218" w:rsidR="00162650" w:rsidRPr="00162650" w:rsidRDefault="00162650" w:rsidP="00162650">
      <w:pPr>
        <w:spacing w:before="120"/>
        <w:ind w:firstLine="709"/>
        <w:jc w:val="both"/>
        <w:rPr>
          <w:b/>
          <w:bCs/>
          <w:sz w:val="28"/>
          <w:szCs w:val="28"/>
        </w:rPr>
      </w:pPr>
      <w:r w:rsidRPr="00162650">
        <w:rPr>
          <w:b/>
          <w:bCs/>
          <w:sz w:val="28"/>
          <w:szCs w:val="28"/>
        </w:rPr>
        <w:t>5. Đối tượng thực hiện TTHC:</w:t>
      </w:r>
    </w:p>
    <w:p w14:paraId="0E826AF8" w14:textId="2F73C17B" w:rsidR="00162650" w:rsidRPr="00A210F2" w:rsidRDefault="00162650" w:rsidP="00162650">
      <w:pPr>
        <w:spacing w:before="120"/>
        <w:ind w:firstLine="709"/>
        <w:jc w:val="both"/>
        <w:rPr>
          <w:sz w:val="28"/>
          <w:szCs w:val="28"/>
        </w:rPr>
      </w:pPr>
      <w:r>
        <w:rPr>
          <w:sz w:val="28"/>
          <w:szCs w:val="28"/>
        </w:rPr>
        <w:t>Doanh nghiệp cảng biển y</w:t>
      </w:r>
      <w:r w:rsidRPr="00A210F2">
        <w:rPr>
          <w:sz w:val="28"/>
          <w:szCs w:val="28"/>
        </w:rPr>
        <w:t>êu cầu</w:t>
      </w:r>
      <w:r>
        <w:rPr>
          <w:sz w:val="28"/>
          <w:szCs w:val="28"/>
        </w:rPr>
        <w:t xml:space="preserve"> </w:t>
      </w:r>
      <w:r w:rsidRPr="00A210F2">
        <w:rPr>
          <w:sz w:val="28"/>
          <w:szCs w:val="28"/>
        </w:rPr>
        <w:t>Đánh giá an ninh cảng biển đáp ứng quy định của Bộ luật ISPS.</w:t>
      </w:r>
    </w:p>
    <w:p w14:paraId="37DE5894" w14:textId="6FCD0FA6" w:rsidR="003C7734" w:rsidRPr="004539D9" w:rsidRDefault="00162650" w:rsidP="00162650">
      <w:pPr>
        <w:spacing w:before="120"/>
        <w:ind w:firstLine="709"/>
        <w:jc w:val="both"/>
        <w:rPr>
          <w:b/>
          <w:bCs/>
          <w:sz w:val="28"/>
          <w:szCs w:val="28"/>
        </w:rPr>
      </w:pPr>
      <w:r w:rsidRPr="004539D9">
        <w:rPr>
          <w:b/>
          <w:bCs/>
          <w:sz w:val="28"/>
          <w:szCs w:val="28"/>
        </w:rPr>
        <w:t xml:space="preserve">6. </w:t>
      </w:r>
      <w:r w:rsidR="003C7734" w:rsidRPr="004539D9">
        <w:rPr>
          <w:b/>
          <w:bCs/>
          <w:sz w:val="28"/>
          <w:szCs w:val="28"/>
        </w:rPr>
        <w:t>Cơ quan thực hiện TTHC:</w:t>
      </w:r>
    </w:p>
    <w:p w14:paraId="28DE4A25" w14:textId="4A6239B5" w:rsidR="003C7734" w:rsidRDefault="003C7734" w:rsidP="00162650">
      <w:pPr>
        <w:spacing w:before="120"/>
        <w:ind w:firstLine="709"/>
        <w:jc w:val="both"/>
        <w:rPr>
          <w:sz w:val="28"/>
          <w:szCs w:val="28"/>
        </w:rPr>
      </w:pPr>
      <w:r>
        <w:rPr>
          <w:sz w:val="28"/>
          <w:szCs w:val="28"/>
        </w:rPr>
        <w:t xml:space="preserve">a) Cơ quan có thẩm quyền quyết định: </w:t>
      </w:r>
      <w:r w:rsidRPr="00A210F2">
        <w:rPr>
          <w:sz w:val="28"/>
          <w:szCs w:val="28"/>
        </w:rPr>
        <w:t>Cảng vụ Hàng hải khu vực quản lý.</w:t>
      </w:r>
    </w:p>
    <w:p w14:paraId="354CA89A" w14:textId="6CDD8682" w:rsidR="003C7734" w:rsidRDefault="003C7734" w:rsidP="00162650">
      <w:pPr>
        <w:spacing w:before="120"/>
        <w:ind w:firstLine="709"/>
        <w:jc w:val="both"/>
        <w:rPr>
          <w:sz w:val="28"/>
          <w:szCs w:val="28"/>
        </w:rPr>
      </w:pPr>
      <w:r>
        <w:rPr>
          <w:sz w:val="28"/>
          <w:szCs w:val="28"/>
        </w:rPr>
        <w:lastRenderedPageBreak/>
        <w:t xml:space="preserve">b) Cơ quan thực hiện TTHC: </w:t>
      </w:r>
      <w:r w:rsidRPr="00A210F2">
        <w:rPr>
          <w:sz w:val="28"/>
          <w:szCs w:val="28"/>
        </w:rPr>
        <w:t>Cảng vụ Hàng hải khu vực quản lý.</w:t>
      </w:r>
    </w:p>
    <w:p w14:paraId="097E1D85" w14:textId="4B71B873" w:rsidR="003C7734" w:rsidRDefault="004539D9" w:rsidP="00162650">
      <w:pPr>
        <w:spacing w:before="120"/>
        <w:ind w:firstLine="709"/>
        <w:jc w:val="both"/>
        <w:rPr>
          <w:sz w:val="28"/>
          <w:szCs w:val="28"/>
        </w:rPr>
      </w:pPr>
      <w:r>
        <w:rPr>
          <w:sz w:val="28"/>
          <w:szCs w:val="28"/>
        </w:rPr>
        <w:t>c) Cơ quan phối hợp (nếu có): Không có.</w:t>
      </w:r>
    </w:p>
    <w:p w14:paraId="64BDFEA0" w14:textId="5A93E2D9" w:rsidR="004539D9" w:rsidRDefault="004539D9" w:rsidP="00162650">
      <w:pPr>
        <w:spacing w:before="120"/>
        <w:ind w:firstLine="709"/>
        <w:jc w:val="both"/>
        <w:rPr>
          <w:sz w:val="28"/>
          <w:szCs w:val="28"/>
        </w:rPr>
      </w:pPr>
      <w:r w:rsidRPr="004539D9">
        <w:rPr>
          <w:b/>
          <w:bCs/>
          <w:sz w:val="28"/>
          <w:szCs w:val="28"/>
        </w:rPr>
        <w:t xml:space="preserve">7. </w:t>
      </w:r>
      <w:r>
        <w:rPr>
          <w:b/>
          <w:bCs/>
          <w:sz w:val="28"/>
          <w:szCs w:val="28"/>
        </w:rPr>
        <w:t xml:space="preserve">Kết quả của việc thực hiện TTHC: </w:t>
      </w:r>
      <w:r w:rsidRPr="004539D9">
        <w:rPr>
          <w:sz w:val="28"/>
          <w:szCs w:val="28"/>
        </w:rPr>
        <w:t xml:space="preserve">Giấy chứng nhận Thẩm định </w:t>
      </w:r>
      <w:r w:rsidR="00A2657B">
        <w:rPr>
          <w:sz w:val="28"/>
          <w:szCs w:val="28"/>
        </w:rPr>
        <w:t>-</w:t>
      </w:r>
      <w:r w:rsidRPr="004539D9">
        <w:rPr>
          <w:sz w:val="28"/>
          <w:szCs w:val="28"/>
        </w:rPr>
        <w:t xml:space="preserve"> Phê duyệt</w:t>
      </w:r>
      <w:r>
        <w:rPr>
          <w:sz w:val="28"/>
          <w:szCs w:val="28"/>
        </w:rPr>
        <w:t xml:space="preserve"> (mẫu số 2).</w:t>
      </w:r>
    </w:p>
    <w:p w14:paraId="38C91259" w14:textId="587CEE46" w:rsidR="004539D9" w:rsidRDefault="004539D9" w:rsidP="00162650">
      <w:pPr>
        <w:spacing w:before="120"/>
        <w:ind w:firstLine="709"/>
        <w:jc w:val="both"/>
        <w:rPr>
          <w:b/>
          <w:bCs/>
          <w:sz w:val="28"/>
          <w:szCs w:val="28"/>
        </w:rPr>
      </w:pPr>
      <w:r w:rsidRPr="004539D9">
        <w:rPr>
          <w:b/>
          <w:bCs/>
          <w:sz w:val="28"/>
          <w:szCs w:val="28"/>
        </w:rPr>
        <w:t xml:space="preserve">8. </w:t>
      </w:r>
      <w:r>
        <w:rPr>
          <w:b/>
          <w:bCs/>
          <w:sz w:val="28"/>
          <w:szCs w:val="28"/>
        </w:rPr>
        <w:t>Phí, lệ phí:</w:t>
      </w:r>
    </w:p>
    <w:p w14:paraId="4BCDE7DE" w14:textId="38A487C2" w:rsidR="004539D9" w:rsidRDefault="004539D9" w:rsidP="00162650">
      <w:pPr>
        <w:spacing w:before="120"/>
        <w:ind w:firstLine="709"/>
        <w:jc w:val="both"/>
        <w:rPr>
          <w:sz w:val="28"/>
          <w:szCs w:val="28"/>
        </w:rPr>
      </w:pPr>
      <w:r w:rsidRPr="004539D9">
        <w:rPr>
          <w:sz w:val="28"/>
          <w:szCs w:val="28"/>
        </w:rPr>
        <w:t xml:space="preserve">Phí Thẩm định </w:t>
      </w:r>
      <w:r w:rsidR="00A2657B">
        <w:rPr>
          <w:sz w:val="28"/>
          <w:szCs w:val="28"/>
        </w:rPr>
        <w:t>-</w:t>
      </w:r>
      <w:r w:rsidRPr="004539D9">
        <w:rPr>
          <w:sz w:val="28"/>
          <w:szCs w:val="28"/>
        </w:rPr>
        <w:t xml:space="preserve"> Phê duyệt</w:t>
      </w:r>
      <w:r>
        <w:rPr>
          <w:sz w:val="28"/>
          <w:szCs w:val="28"/>
        </w:rPr>
        <w:t xml:space="preserve"> đánh giá an ninh cảng biển:</w:t>
      </w:r>
    </w:p>
    <w:p w14:paraId="05A0BB1E" w14:textId="6C1935E2" w:rsidR="004539D9" w:rsidRDefault="004539D9" w:rsidP="00162650">
      <w:pPr>
        <w:spacing w:before="120"/>
        <w:ind w:firstLine="709"/>
        <w:jc w:val="both"/>
        <w:rPr>
          <w:sz w:val="28"/>
          <w:szCs w:val="28"/>
        </w:rPr>
      </w:pPr>
      <w:r>
        <w:rPr>
          <w:sz w:val="28"/>
          <w:szCs w:val="28"/>
        </w:rPr>
        <w:t>- Lần đầu hoặc định kỳ 5 năm: 15.000.000 đồng/lần (mười lăm triệu đồng/lần).</w:t>
      </w:r>
    </w:p>
    <w:p w14:paraId="31552ACF" w14:textId="774395C3" w:rsidR="004539D9" w:rsidRDefault="004539D9" w:rsidP="004539D9">
      <w:pPr>
        <w:spacing w:before="120"/>
        <w:ind w:firstLine="709"/>
        <w:jc w:val="both"/>
        <w:rPr>
          <w:sz w:val="28"/>
          <w:szCs w:val="28"/>
        </w:rPr>
      </w:pPr>
      <w:r>
        <w:rPr>
          <w:sz w:val="28"/>
          <w:szCs w:val="28"/>
        </w:rPr>
        <w:t>- Bổ sung: 3.000.000 đồng/lần (ba triệu đồng/lần).</w:t>
      </w:r>
    </w:p>
    <w:p w14:paraId="1E3518CA" w14:textId="536A2873" w:rsidR="004539D9" w:rsidRDefault="004539D9" w:rsidP="00162650">
      <w:pPr>
        <w:spacing w:before="120"/>
        <w:ind w:firstLine="709"/>
        <w:jc w:val="both"/>
        <w:rPr>
          <w:sz w:val="28"/>
          <w:szCs w:val="28"/>
        </w:rPr>
      </w:pPr>
      <w:r w:rsidRPr="004539D9">
        <w:rPr>
          <w:b/>
          <w:bCs/>
          <w:sz w:val="28"/>
          <w:szCs w:val="28"/>
        </w:rPr>
        <w:t xml:space="preserve">9. </w:t>
      </w:r>
      <w:r>
        <w:rPr>
          <w:b/>
          <w:bCs/>
          <w:sz w:val="28"/>
          <w:szCs w:val="28"/>
        </w:rPr>
        <w:t xml:space="preserve">Yêu cầu, điều kiện thực hiện TTHC: </w:t>
      </w:r>
    </w:p>
    <w:p w14:paraId="564808A4" w14:textId="248069E0" w:rsidR="004539D9" w:rsidRDefault="004539D9" w:rsidP="004539D9">
      <w:pPr>
        <w:spacing w:before="120"/>
        <w:ind w:firstLine="709"/>
        <w:jc w:val="both"/>
        <w:rPr>
          <w:sz w:val="28"/>
          <w:szCs w:val="28"/>
        </w:rPr>
      </w:pPr>
      <w:r w:rsidRPr="00A210F2">
        <w:rPr>
          <w:sz w:val="28"/>
          <w:szCs w:val="28"/>
        </w:rPr>
        <w:t>Đánh giá an ninh cảng biển đáp ứng quy định của Bộ luật ISPS.</w:t>
      </w:r>
    </w:p>
    <w:p w14:paraId="69FF7C21" w14:textId="77777777" w:rsidR="00811086" w:rsidRDefault="004539D9" w:rsidP="004539D9">
      <w:pPr>
        <w:spacing w:before="120"/>
        <w:ind w:firstLine="709"/>
        <w:jc w:val="both"/>
        <w:rPr>
          <w:b/>
          <w:bCs/>
          <w:sz w:val="28"/>
          <w:szCs w:val="28"/>
        </w:rPr>
      </w:pPr>
      <w:r w:rsidRPr="004539D9">
        <w:rPr>
          <w:b/>
          <w:bCs/>
          <w:sz w:val="28"/>
          <w:szCs w:val="28"/>
        </w:rPr>
        <w:t>10. Căn cứ pháp lý của TTHC:</w:t>
      </w:r>
    </w:p>
    <w:p w14:paraId="0949E40C" w14:textId="6100204C" w:rsidR="00811086" w:rsidRPr="00811086" w:rsidRDefault="00811086" w:rsidP="00811086">
      <w:pPr>
        <w:spacing w:before="120"/>
        <w:ind w:firstLine="709"/>
        <w:jc w:val="both"/>
        <w:rPr>
          <w:iCs/>
          <w:sz w:val="28"/>
          <w:szCs w:val="28"/>
        </w:rPr>
      </w:pPr>
      <w:r w:rsidRPr="00811086">
        <w:rPr>
          <w:iCs/>
          <w:sz w:val="28"/>
          <w:szCs w:val="28"/>
        </w:rPr>
        <w:t>- Bộ luật hàng hải Việt Nam ngày 14 tháng 6 năm 2005;</w:t>
      </w:r>
    </w:p>
    <w:p w14:paraId="1B7C3F7D" w14:textId="3D23EEB4" w:rsidR="00811086" w:rsidRDefault="00811086" w:rsidP="00811086">
      <w:pPr>
        <w:spacing w:before="120"/>
        <w:ind w:firstLine="720"/>
        <w:jc w:val="both"/>
        <w:rPr>
          <w:sz w:val="28"/>
          <w:szCs w:val="28"/>
        </w:rPr>
      </w:pPr>
      <w:r w:rsidRPr="00811086">
        <w:rPr>
          <w:sz w:val="28"/>
          <w:szCs w:val="28"/>
        </w:rPr>
        <w:t xml:space="preserve">- </w:t>
      </w:r>
      <w:r>
        <w:rPr>
          <w:sz w:val="28"/>
          <w:szCs w:val="28"/>
        </w:rPr>
        <w:t xml:space="preserve">Thông tư số </w:t>
      </w:r>
      <w:r w:rsidRPr="00811086">
        <w:rPr>
          <w:sz w:val="28"/>
          <w:szCs w:val="28"/>
        </w:rPr>
        <w:t>27/2011/TT-BGTVT</w:t>
      </w:r>
      <w:r>
        <w:rPr>
          <w:sz w:val="28"/>
          <w:szCs w:val="28"/>
        </w:rPr>
        <w:t xml:space="preserve"> ngày 14/4/2011 của Bộ Giao thông vận tải về</w:t>
      </w:r>
      <w:r w:rsidRPr="00A210F2">
        <w:rPr>
          <w:sz w:val="28"/>
          <w:szCs w:val="28"/>
        </w:rPr>
        <w:t xml:space="preserve"> việc áp dụng Sửa đổi, bổ sung năm 2002 của Công ước quốc tế về an toàn sinh mạng con người trên biển năm 1974 (</w:t>
      </w:r>
      <w:r>
        <w:rPr>
          <w:sz w:val="28"/>
          <w:szCs w:val="28"/>
        </w:rPr>
        <w:t xml:space="preserve">Công ước </w:t>
      </w:r>
      <w:r w:rsidRPr="00A210F2">
        <w:rPr>
          <w:sz w:val="28"/>
          <w:szCs w:val="28"/>
        </w:rPr>
        <w:t>SOLAS 74) ban hành kèm theo Bộ luật quốc tế về an ninh tàu biển và cảng biển (Bộ luật ISPS</w:t>
      </w:r>
      <w:r>
        <w:rPr>
          <w:sz w:val="28"/>
          <w:szCs w:val="28"/>
        </w:rPr>
        <w:t>).</w:t>
      </w:r>
    </w:p>
    <w:p w14:paraId="23E04D8B" w14:textId="77777777" w:rsidR="00A2657B" w:rsidRDefault="00811086" w:rsidP="00811086">
      <w:pPr>
        <w:spacing w:before="120"/>
        <w:ind w:firstLine="720"/>
        <w:jc w:val="both"/>
        <w:rPr>
          <w:sz w:val="28"/>
          <w:szCs w:val="28"/>
        </w:rPr>
      </w:pPr>
      <w:r>
        <w:rPr>
          <w:sz w:val="28"/>
          <w:szCs w:val="28"/>
        </w:rPr>
        <w:t xml:space="preserve">- Thông tư </w:t>
      </w:r>
      <w:r w:rsidRPr="00811086">
        <w:rPr>
          <w:sz w:val="28"/>
          <w:szCs w:val="28"/>
        </w:rPr>
        <w:t xml:space="preserve">số </w:t>
      </w:r>
      <w:r w:rsidRPr="00811086">
        <w:rPr>
          <w:sz w:val="28"/>
          <w:szCs w:val="28"/>
          <w:lang w:val="vi-VN"/>
        </w:rPr>
        <w:t>192/2016/TT-BTC</w:t>
      </w:r>
      <w:r>
        <w:rPr>
          <w:sz w:val="28"/>
          <w:szCs w:val="28"/>
        </w:rPr>
        <w:t xml:space="preserve"> ngày 08/11/2016 của Bộ trưởng Bộ Tài chính quy định về mức thu chế độ thu, nộp, quản lý và sử dụng phí thẩm định, phê duyệt đánh giá an ninh cảng biển, kế hoạch an ninh cảng biển và cấp lý lịch liên tục của tàu biển.</w:t>
      </w:r>
    </w:p>
    <w:p w14:paraId="6D6A783C" w14:textId="53E9FC89" w:rsidR="004539D9" w:rsidRPr="00811086" w:rsidRDefault="00811086" w:rsidP="00F95A4D">
      <w:pPr>
        <w:spacing w:before="120"/>
        <w:ind w:firstLine="720"/>
        <w:jc w:val="both"/>
        <w:rPr>
          <w:sz w:val="28"/>
          <w:szCs w:val="28"/>
        </w:rPr>
      </w:pPr>
      <w:r>
        <w:rPr>
          <w:sz w:val="28"/>
          <w:szCs w:val="28"/>
        </w:rPr>
        <w:t xml:space="preserve"> </w:t>
      </w:r>
    </w:p>
    <w:p w14:paraId="09272271" w14:textId="52BCF5B1" w:rsidR="00770534" w:rsidRDefault="00770534"/>
    <w:p w14:paraId="362A73A6" w14:textId="15A373CF" w:rsidR="00AA1A13" w:rsidRDefault="00AA1A13"/>
    <w:p w14:paraId="3A9E9122" w14:textId="7032A362" w:rsidR="00AA1A13" w:rsidRDefault="00AA1A13"/>
    <w:p w14:paraId="61B2E53B" w14:textId="2710E160" w:rsidR="00AA1A13" w:rsidRDefault="00AA1A13"/>
    <w:p w14:paraId="4DA2EAA7" w14:textId="7E10ED25" w:rsidR="00AA1A13" w:rsidRDefault="00AA1A13"/>
    <w:p w14:paraId="6A669488" w14:textId="7C5D1B6A" w:rsidR="00AA1A13" w:rsidRDefault="00AA1A13"/>
    <w:p w14:paraId="1AF1B4EF" w14:textId="45B6FF61" w:rsidR="00AA1A13" w:rsidRDefault="00AA1A13"/>
    <w:p w14:paraId="186FFBD1" w14:textId="1B1C30A8" w:rsidR="00AA1A13" w:rsidRDefault="00AA1A13"/>
    <w:p w14:paraId="23836B8F" w14:textId="03C20E37" w:rsidR="00AA1A13" w:rsidRDefault="00AA1A13"/>
    <w:p w14:paraId="46A80F79" w14:textId="38667757" w:rsidR="00AA1A13" w:rsidRDefault="00AA1A13"/>
    <w:p w14:paraId="4DFD0B0A" w14:textId="7F9D4E94" w:rsidR="00AA1A13" w:rsidRDefault="00AA1A13"/>
    <w:p w14:paraId="50DC7CB3" w14:textId="35A8BF76" w:rsidR="00AA1A13" w:rsidRDefault="00AA1A13"/>
    <w:sectPr w:rsidR="00AA1A13" w:rsidSect="003C7734">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50"/>
    <w:rsid w:val="00162650"/>
    <w:rsid w:val="0022659C"/>
    <w:rsid w:val="003C7734"/>
    <w:rsid w:val="004539D9"/>
    <w:rsid w:val="00770534"/>
    <w:rsid w:val="00811086"/>
    <w:rsid w:val="00A2657B"/>
    <w:rsid w:val="00AA1A13"/>
    <w:rsid w:val="00F9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0796"/>
  <w15:chartTrackingRefBased/>
  <w15:docId w15:val="{95329005-FBCB-4B69-9457-A0EB516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5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Admin</cp:lastModifiedBy>
  <cp:revision>3</cp:revision>
  <dcterms:created xsi:type="dcterms:W3CDTF">2021-09-21T06:39:00Z</dcterms:created>
  <dcterms:modified xsi:type="dcterms:W3CDTF">2021-09-29T08:56:00Z</dcterms:modified>
</cp:coreProperties>
</file>